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923FA">
        <w:rPr>
          <w:rFonts w:ascii="Times New Roman" w:hAnsi="Times New Roman" w:cs="Times New Roman"/>
          <w:b/>
          <w:sz w:val="28"/>
          <w:szCs w:val="28"/>
        </w:rPr>
        <w:t>ПОКАЗАТЕЛИ</w:t>
      </w:r>
      <w:r w:rsidRPr="00A923FA">
        <w:rPr>
          <w:rFonts w:ascii="Times New Roman" w:hAnsi="Times New Roman" w:cs="Times New Roman"/>
          <w:b/>
          <w:sz w:val="28"/>
          <w:szCs w:val="28"/>
        </w:rPr>
        <w:t xml:space="preserve"> ДОО</w:t>
      </w:r>
    </w:p>
    <w:bookmarkEnd w:id="0"/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целей системы мониторинга качества дошкольного образования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определены следующие показатели: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 доля ДОО, в которых структура и содержание образовательных программ дошкольного образования соответствуют требованиям ФГОС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>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образовательных программ дошкольного образования, в которых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в программно-методическое обеспечение образовательных программ включены парциальные программы, отражающие региональные приоритеты развития системы дошкольного образования;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 доля ДОО, в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создана современная образовательная среда;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 доля ДОО, в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педагоги используют эффективные формы и методы взаимодействия с детьми;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муниципальных образований области, имеющих положительную динамику в численности педагогов с высшим педагогическим образованием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(за 2 года);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муниципальных образований области, имеющих положительную динамику в численности педагогов с первой и высшей квалификационными категориями (за 2 года);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доля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ДОО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в которых обеспечено качество образовательной инфраструктуры и развивающей предметно-пространственной среды в групповых помещениях;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доля ДОО, в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созданы условия для социально-личностного развития ребенка;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ДОО, в которых осуществляется взаимодействие сотрудников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с семьями;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доля ДОО, в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созданы максимальные возможности для развития игровой деятельности;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923FA">
        <w:rPr>
          <w:rFonts w:ascii="Times New Roman" w:hAnsi="Times New Roman" w:cs="Times New Roman"/>
          <w:sz w:val="28"/>
          <w:szCs w:val="28"/>
        </w:rPr>
        <w:t>— доля ДОО, в которых структура и содержание адаптированных образовательных программ дошкольного образования соответствуют требованиям федерального государственного образовательного стандарта дошкольного образования, примерным адаптированным основным образовательным программам дошкольного образования;</w:t>
      </w:r>
      <w:proofErr w:type="gramEnd"/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923FA">
        <w:rPr>
          <w:rFonts w:ascii="Times New Roman" w:hAnsi="Times New Roman" w:cs="Times New Roman"/>
          <w:sz w:val="28"/>
          <w:szCs w:val="28"/>
        </w:rPr>
        <w:t>— доля муниципальных образований, в которых ДОО обеспечены соответствующими кадрами (100%) для реализации адаптированных основных образовательных программ дошкольного образования;</w:t>
      </w:r>
      <w:proofErr w:type="gramEnd"/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923FA">
        <w:rPr>
          <w:rFonts w:ascii="Times New Roman" w:hAnsi="Times New Roman" w:cs="Times New Roman"/>
          <w:sz w:val="28"/>
          <w:szCs w:val="28"/>
        </w:rPr>
        <w:t>— доля ДОО, использующих педагогический ресурс семьи в образовательном процессе, обеспечивающих индивидуальную поддержку ребенка в условиях семейного воспитания;</w:t>
      </w:r>
      <w:proofErr w:type="gramEnd"/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 xml:space="preserve">— доля ДОО, в </w:t>
      </w:r>
      <w:proofErr w:type="gramStart"/>
      <w:r w:rsidRPr="00A923F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23FA">
        <w:rPr>
          <w:rFonts w:ascii="Times New Roman" w:hAnsi="Times New Roman" w:cs="Times New Roman"/>
          <w:sz w:val="28"/>
          <w:szCs w:val="28"/>
        </w:rPr>
        <w:t xml:space="preserve"> родители удовлетворены образовательными услугами;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муниципальных образований, имеющих положительную динамику уровня заболеваемости (за 2 года);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ДОО, обеспечивающих 100 % выполнение показателей создания безопасных условий дошкольного образования, присмотра и ухода;</w:t>
      </w:r>
    </w:p>
    <w:p w:rsidR="00A923FA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муниципальных образований области, в ДОО которых выполняются нормы питания (85% — 100%);</w:t>
      </w:r>
    </w:p>
    <w:p w:rsidR="00A57DD9" w:rsidRPr="00A923FA" w:rsidRDefault="00A923FA" w:rsidP="00A92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3FA">
        <w:rPr>
          <w:rFonts w:ascii="Times New Roman" w:hAnsi="Times New Roman" w:cs="Times New Roman"/>
          <w:sz w:val="28"/>
          <w:szCs w:val="28"/>
        </w:rPr>
        <w:t>— доля ДОО, в которых внутренняя система оценки качества функционирует с учетом всех компонентов управленческого цикла.</w:t>
      </w:r>
    </w:p>
    <w:sectPr w:rsidR="00A57DD9" w:rsidRPr="00A923FA" w:rsidSect="00A923FA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73C"/>
    <w:rsid w:val="00A57DD9"/>
    <w:rsid w:val="00A923FA"/>
    <w:rsid w:val="00E7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2021-09-14T09:33:00Z</dcterms:created>
  <dcterms:modified xsi:type="dcterms:W3CDTF">2021-09-14T09:33:00Z</dcterms:modified>
</cp:coreProperties>
</file>